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2D3A" w14:textId="77777777" w:rsidR="00931950" w:rsidRDefault="00931950">
      <w:pPr>
        <w:rPr>
          <w:b/>
          <w:sz w:val="24"/>
        </w:rPr>
      </w:pPr>
    </w:p>
    <w:tbl>
      <w:tblPr>
        <w:tblStyle w:val="TableGrid"/>
        <w:tblW w:w="9716" w:type="dxa"/>
        <w:tblInd w:w="-365" w:type="dxa"/>
        <w:tblLook w:val="04A0" w:firstRow="1" w:lastRow="0" w:firstColumn="1" w:lastColumn="0" w:noHBand="0" w:noVBand="1"/>
      </w:tblPr>
      <w:tblGrid>
        <w:gridCol w:w="3762"/>
        <w:gridCol w:w="2835"/>
        <w:gridCol w:w="3119"/>
      </w:tblGrid>
      <w:tr w:rsidR="00931950" w14:paraId="3888013D" w14:textId="77777777" w:rsidTr="00F136AA">
        <w:tc>
          <w:tcPr>
            <w:tcW w:w="3762" w:type="dxa"/>
            <w:shd w:val="clear" w:color="auto" w:fill="C45911" w:themeFill="accent2" w:themeFillShade="BF"/>
          </w:tcPr>
          <w:p w14:paraId="2E59E1E3" w14:textId="77777777" w:rsidR="00024C2A" w:rsidRPr="00F136AA" w:rsidRDefault="00024C2A">
            <w:pPr>
              <w:rPr>
                <w:b/>
                <w:color w:val="FFFFFF" w:themeColor="background1"/>
                <w:sz w:val="28"/>
              </w:rPr>
            </w:pPr>
            <w:bookmarkStart w:id="0" w:name="_GoBack"/>
          </w:p>
          <w:p w14:paraId="28E29DED" w14:textId="77777777" w:rsidR="00F136AA" w:rsidRPr="00F136AA" w:rsidRDefault="00024C2A">
            <w:pPr>
              <w:rPr>
                <w:b/>
                <w:color w:val="FFFFFF" w:themeColor="background1"/>
                <w:sz w:val="28"/>
              </w:rPr>
            </w:pPr>
            <w:r w:rsidRPr="00F136AA">
              <w:rPr>
                <w:b/>
                <w:color w:val="FFFFFF" w:themeColor="background1"/>
                <w:sz w:val="28"/>
              </w:rPr>
              <w:t xml:space="preserve">A Level Results </w:t>
            </w:r>
          </w:p>
          <w:p w14:paraId="493B96CF" w14:textId="078588ED" w:rsidR="00931950" w:rsidRPr="00F136AA" w:rsidRDefault="00024C2A">
            <w:pPr>
              <w:rPr>
                <w:b/>
                <w:color w:val="FFFFFF" w:themeColor="background1"/>
                <w:sz w:val="28"/>
              </w:rPr>
            </w:pPr>
            <w:r w:rsidRPr="00F136AA">
              <w:rPr>
                <w:b/>
                <w:color w:val="FFFFFF" w:themeColor="background1"/>
                <w:sz w:val="28"/>
              </w:rPr>
              <w:t>The English College Dubai</w:t>
            </w:r>
          </w:p>
          <w:p w14:paraId="0E1558C5" w14:textId="77777777" w:rsidR="00024C2A" w:rsidRPr="00F136AA" w:rsidRDefault="00024C2A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835" w:type="dxa"/>
            <w:shd w:val="clear" w:color="auto" w:fill="C45911" w:themeFill="accent2" w:themeFillShade="BF"/>
            <w:vAlign w:val="center"/>
          </w:tcPr>
          <w:p w14:paraId="63FB41AD" w14:textId="77777777" w:rsidR="00931950" w:rsidRPr="00F136AA" w:rsidRDefault="00024C2A" w:rsidP="00024C2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136AA">
              <w:rPr>
                <w:b/>
                <w:color w:val="FFFFFF" w:themeColor="background1"/>
                <w:sz w:val="28"/>
              </w:rPr>
              <w:t>2019</w:t>
            </w:r>
          </w:p>
        </w:tc>
        <w:tc>
          <w:tcPr>
            <w:tcW w:w="3119" w:type="dxa"/>
            <w:shd w:val="clear" w:color="auto" w:fill="C45911" w:themeFill="accent2" w:themeFillShade="BF"/>
            <w:vAlign w:val="center"/>
          </w:tcPr>
          <w:p w14:paraId="391367F5" w14:textId="77777777" w:rsidR="00931950" w:rsidRPr="00F136AA" w:rsidRDefault="00CF1DE8" w:rsidP="00024C2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136AA">
              <w:rPr>
                <w:b/>
                <w:color w:val="FFFFFF" w:themeColor="background1"/>
                <w:sz w:val="28"/>
              </w:rPr>
              <w:t>2018</w:t>
            </w:r>
          </w:p>
        </w:tc>
      </w:tr>
      <w:tr w:rsidR="00931950" w14:paraId="01E9649D" w14:textId="77777777" w:rsidTr="00F136AA">
        <w:tc>
          <w:tcPr>
            <w:tcW w:w="3762" w:type="dxa"/>
            <w:shd w:val="clear" w:color="auto" w:fill="C00000"/>
          </w:tcPr>
          <w:p w14:paraId="54A455D4" w14:textId="77777777" w:rsidR="00931950" w:rsidRPr="00024C2A" w:rsidRDefault="00024C2A">
            <w:pPr>
              <w:rPr>
                <w:sz w:val="24"/>
              </w:rPr>
            </w:pPr>
            <w:r w:rsidRPr="00024C2A">
              <w:rPr>
                <w:sz w:val="24"/>
              </w:rPr>
              <w:t>No. of students in A level cohort</w:t>
            </w:r>
          </w:p>
        </w:tc>
        <w:tc>
          <w:tcPr>
            <w:tcW w:w="2835" w:type="dxa"/>
            <w:vAlign w:val="center"/>
          </w:tcPr>
          <w:p w14:paraId="3F7D8998" w14:textId="77777777" w:rsidR="00931950" w:rsidRDefault="000B0864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3119" w:type="dxa"/>
            <w:vAlign w:val="center"/>
          </w:tcPr>
          <w:p w14:paraId="4E14756B" w14:textId="77777777" w:rsidR="00931950" w:rsidRDefault="0024082C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 w:rsidR="00931950" w14:paraId="4BB98102" w14:textId="77777777" w:rsidTr="00F136AA">
        <w:tc>
          <w:tcPr>
            <w:tcW w:w="3762" w:type="dxa"/>
            <w:shd w:val="clear" w:color="auto" w:fill="C00000"/>
          </w:tcPr>
          <w:p w14:paraId="71C58D3C" w14:textId="77777777" w:rsidR="00931950" w:rsidRPr="00024C2A" w:rsidRDefault="00024C2A">
            <w:pPr>
              <w:rPr>
                <w:sz w:val="24"/>
              </w:rPr>
            </w:pPr>
            <w:r w:rsidRPr="00024C2A">
              <w:rPr>
                <w:sz w:val="24"/>
              </w:rPr>
              <w:t>No. of exam entries</w:t>
            </w:r>
          </w:p>
        </w:tc>
        <w:tc>
          <w:tcPr>
            <w:tcW w:w="2835" w:type="dxa"/>
            <w:vAlign w:val="center"/>
          </w:tcPr>
          <w:p w14:paraId="42C82B76" w14:textId="77777777" w:rsidR="00931950" w:rsidRDefault="009E1E72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195</w:t>
            </w:r>
          </w:p>
        </w:tc>
        <w:tc>
          <w:tcPr>
            <w:tcW w:w="3119" w:type="dxa"/>
            <w:vAlign w:val="center"/>
          </w:tcPr>
          <w:p w14:paraId="14383798" w14:textId="77777777" w:rsidR="00931950" w:rsidRDefault="00F25DF7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</w:tr>
      <w:tr w:rsidR="00931950" w14:paraId="39370BBD" w14:textId="77777777" w:rsidTr="00F136AA">
        <w:tc>
          <w:tcPr>
            <w:tcW w:w="3762" w:type="dxa"/>
            <w:shd w:val="clear" w:color="auto" w:fill="C00000"/>
          </w:tcPr>
          <w:p w14:paraId="26970BCF" w14:textId="78A7BD5B" w:rsidR="00931950" w:rsidRPr="00024C2A" w:rsidRDefault="00024C2A">
            <w:pPr>
              <w:rPr>
                <w:sz w:val="24"/>
              </w:rPr>
            </w:pPr>
            <w:r w:rsidRPr="00024C2A">
              <w:rPr>
                <w:sz w:val="24"/>
              </w:rPr>
              <w:t>A*</w:t>
            </w:r>
          </w:p>
        </w:tc>
        <w:tc>
          <w:tcPr>
            <w:tcW w:w="2835" w:type="dxa"/>
            <w:vAlign w:val="center"/>
          </w:tcPr>
          <w:p w14:paraId="0BACD520" w14:textId="77777777" w:rsidR="00931950" w:rsidRDefault="0067610F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124BB1">
              <w:rPr>
                <w:b/>
                <w:sz w:val="24"/>
              </w:rPr>
              <w:t>%</w:t>
            </w:r>
          </w:p>
        </w:tc>
        <w:tc>
          <w:tcPr>
            <w:tcW w:w="3119" w:type="dxa"/>
            <w:vAlign w:val="center"/>
          </w:tcPr>
          <w:p w14:paraId="0078E6B3" w14:textId="77777777" w:rsidR="00931950" w:rsidRDefault="005B20A5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5%</w:t>
            </w:r>
          </w:p>
        </w:tc>
      </w:tr>
      <w:tr w:rsidR="00931950" w14:paraId="48BECE1D" w14:textId="77777777" w:rsidTr="00F136AA">
        <w:tc>
          <w:tcPr>
            <w:tcW w:w="3762" w:type="dxa"/>
            <w:shd w:val="clear" w:color="auto" w:fill="C00000"/>
          </w:tcPr>
          <w:p w14:paraId="0FCA19AC" w14:textId="5618522E" w:rsidR="00931950" w:rsidRPr="00024C2A" w:rsidRDefault="00024C2A">
            <w:pPr>
              <w:rPr>
                <w:sz w:val="24"/>
              </w:rPr>
            </w:pPr>
            <w:r w:rsidRPr="00024C2A">
              <w:rPr>
                <w:sz w:val="24"/>
              </w:rPr>
              <w:t>A*-A</w:t>
            </w:r>
          </w:p>
        </w:tc>
        <w:tc>
          <w:tcPr>
            <w:tcW w:w="2835" w:type="dxa"/>
            <w:vAlign w:val="center"/>
          </w:tcPr>
          <w:p w14:paraId="5747896A" w14:textId="77777777" w:rsidR="00931950" w:rsidRDefault="00407237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124BB1">
              <w:rPr>
                <w:b/>
                <w:sz w:val="24"/>
              </w:rPr>
              <w:t>%</w:t>
            </w:r>
          </w:p>
        </w:tc>
        <w:tc>
          <w:tcPr>
            <w:tcW w:w="3119" w:type="dxa"/>
            <w:vAlign w:val="center"/>
          </w:tcPr>
          <w:p w14:paraId="6E6F8E9B" w14:textId="77777777" w:rsidR="00931950" w:rsidRDefault="005B20A5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22%</w:t>
            </w:r>
          </w:p>
        </w:tc>
      </w:tr>
      <w:tr w:rsidR="00931950" w14:paraId="1312A30C" w14:textId="77777777" w:rsidTr="00F136AA">
        <w:tc>
          <w:tcPr>
            <w:tcW w:w="3762" w:type="dxa"/>
            <w:shd w:val="clear" w:color="auto" w:fill="C00000"/>
          </w:tcPr>
          <w:p w14:paraId="5AF60779" w14:textId="7E158DF1" w:rsidR="00931950" w:rsidRPr="00024C2A" w:rsidRDefault="00024C2A">
            <w:pPr>
              <w:rPr>
                <w:sz w:val="24"/>
              </w:rPr>
            </w:pPr>
            <w:r w:rsidRPr="00024C2A">
              <w:rPr>
                <w:sz w:val="24"/>
              </w:rPr>
              <w:t>A*-C</w:t>
            </w:r>
          </w:p>
        </w:tc>
        <w:tc>
          <w:tcPr>
            <w:tcW w:w="2835" w:type="dxa"/>
            <w:vAlign w:val="center"/>
          </w:tcPr>
          <w:p w14:paraId="2B899E1A" w14:textId="77777777" w:rsidR="00931950" w:rsidRDefault="0067610F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 w:rsidR="00124BB1">
              <w:rPr>
                <w:b/>
                <w:sz w:val="24"/>
              </w:rPr>
              <w:t>%</w:t>
            </w:r>
          </w:p>
        </w:tc>
        <w:tc>
          <w:tcPr>
            <w:tcW w:w="3119" w:type="dxa"/>
            <w:vAlign w:val="center"/>
          </w:tcPr>
          <w:p w14:paraId="5983098F" w14:textId="77777777" w:rsidR="00931950" w:rsidRDefault="005B20A5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85%</w:t>
            </w:r>
          </w:p>
        </w:tc>
      </w:tr>
      <w:tr w:rsidR="00931950" w14:paraId="47F86247" w14:textId="77777777" w:rsidTr="00F136AA">
        <w:tc>
          <w:tcPr>
            <w:tcW w:w="3762" w:type="dxa"/>
            <w:shd w:val="clear" w:color="auto" w:fill="C00000"/>
          </w:tcPr>
          <w:p w14:paraId="4D05ACA5" w14:textId="1BF35196" w:rsidR="00931950" w:rsidRPr="00024C2A" w:rsidRDefault="00024C2A">
            <w:pPr>
              <w:rPr>
                <w:sz w:val="24"/>
              </w:rPr>
            </w:pPr>
            <w:r w:rsidRPr="00024C2A">
              <w:rPr>
                <w:sz w:val="24"/>
              </w:rPr>
              <w:t>A*-E</w:t>
            </w:r>
          </w:p>
        </w:tc>
        <w:tc>
          <w:tcPr>
            <w:tcW w:w="2835" w:type="dxa"/>
            <w:vAlign w:val="center"/>
          </w:tcPr>
          <w:p w14:paraId="6DBD1300" w14:textId="77777777" w:rsidR="00931950" w:rsidRDefault="00124BB1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3119" w:type="dxa"/>
            <w:vAlign w:val="center"/>
          </w:tcPr>
          <w:p w14:paraId="098ED7C5" w14:textId="77777777" w:rsidR="00931950" w:rsidRDefault="0024082C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5B20A5">
              <w:rPr>
                <w:b/>
                <w:sz w:val="24"/>
              </w:rPr>
              <w:t>%</w:t>
            </w:r>
          </w:p>
        </w:tc>
      </w:tr>
      <w:tr w:rsidR="00931950" w14:paraId="6A748ADF" w14:textId="77777777" w:rsidTr="00F136AA">
        <w:tc>
          <w:tcPr>
            <w:tcW w:w="3762" w:type="dxa"/>
            <w:shd w:val="clear" w:color="auto" w:fill="C00000"/>
          </w:tcPr>
          <w:p w14:paraId="025F3F3B" w14:textId="77777777" w:rsidR="00931950" w:rsidRPr="00024C2A" w:rsidRDefault="00024C2A">
            <w:pPr>
              <w:rPr>
                <w:sz w:val="24"/>
              </w:rPr>
            </w:pPr>
            <w:r w:rsidRPr="00024C2A">
              <w:rPr>
                <w:sz w:val="24"/>
              </w:rPr>
              <w:t>Highest no. of grades by individual students</w:t>
            </w:r>
          </w:p>
        </w:tc>
        <w:tc>
          <w:tcPr>
            <w:tcW w:w="2835" w:type="dxa"/>
            <w:vAlign w:val="center"/>
          </w:tcPr>
          <w:p w14:paraId="1B097E52" w14:textId="77777777" w:rsidR="00931950" w:rsidRDefault="005C28EA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D5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 w:rsidR="006D5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A* &amp; 2</w:t>
            </w:r>
            <w:r w:rsidR="006D5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 w:rsidR="006D5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3119" w:type="dxa"/>
            <w:vAlign w:val="center"/>
          </w:tcPr>
          <w:p w14:paraId="563FD8FF" w14:textId="77777777" w:rsidR="00931950" w:rsidRDefault="001941FA" w:rsidP="00024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X A*</w:t>
            </w:r>
          </w:p>
        </w:tc>
      </w:tr>
      <w:tr w:rsidR="0024082C" w14:paraId="18451BE9" w14:textId="77777777" w:rsidTr="00F136AA">
        <w:tc>
          <w:tcPr>
            <w:tcW w:w="3762" w:type="dxa"/>
            <w:shd w:val="clear" w:color="auto" w:fill="C00000"/>
          </w:tcPr>
          <w:p w14:paraId="14007DDB" w14:textId="77777777" w:rsidR="0024082C" w:rsidRPr="00024C2A" w:rsidRDefault="0024082C">
            <w:pPr>
              <w:rPr>
                <w:sz w:val="24"/>
              </w:rPr>
            </w:pPr>
            <w:r>
              <w:rPr>
                <w:sz w:val="24"/>
              </w:rPr>
              <w:t>UK University destinations</w:t>
            </w:r>
          </w:p>
        </w:tc>
        <w:tc>
          <w:tcPr>
            <w:tcW w:w="2835" w:type="dxa"/>
            <w:vAlign w:val="center"/>
          </w:tcPr>
          <w:p w14:paraId="71E90329" w14:textId="59F04E09" w:rsidR="006D58EC" w:rsidRPr="005C28EA" w:rsidRDefault="006D58EC" w:rsidP="006D58EC">
            <w:pPr>
              <w:pStyle w:val="NoSpacing"/>
            </w:pPr>
            <w:r w:rsidRPr="005C28EA">
              <w:t>Queen Mary,</w:t>
            </w:r>
            <w:r w:rsidR="00F136AA">
              <w:t xml:space="preserve"> London</w:t>
            </w:r>
            <w:r w:rsidRPr="005C28EA">
              <w:t xml:space="preserve"> </w:t>
            </w:r>
          </w:p>
          <w:p w14:paraId="132B3C79" w14:textId="134DE218" w:rsidR="006D58EC" w:rsidRDefault="006D58EC" w:rsidP="005C28EA">
            <w:pPr>
              <w:pStyle w:val="NoSpacing"/>
            </w:pPr>
            <w:r>
              <w:t>University College</w:t>
            </w:r>
            <w:r w:rsidR="00F136AA">
              <w:t xml:space="preserve">, </w:t>
            </w:r>
            <w:r>
              <w:t>London</w:t>
            </w:r>
          </w:p>
          <w:p w14:paraId="7CBBBC1B" w14:textId="77777777" w:rsidR="005C28EA" w:rsidRDefault="005C28EA" w:rsidP="005C28EA">
            <w:pPr>
              <w:pStyle w:val="NoSpacing"/>
            </w:pPr>
            <w:r>
              <w:t xml:space="preserve">University of </w:t>
            </w:r>
            <w:r w:rsidRPr="005C28EA">
              <w:t>Birmingham</w:t>
            </w:r>
          </w:p>
          <w:p w14:paraId="492C42F5" w14:textId="77777777" w:rsidR="007C0080" w:rsidRDefault="007C0080" w:rsidP="005C28EA">
            <w:pPr>
              <w:pStyle w:val="NoSpacing"/>
            </w:pPr>
            <w:r>
              <w:t>Herriot Watt University</w:t>
            </w:r>
          </w:p>
          <w:p w14:paraId="42118141" w14:textId="77777777" w:rsidR="007C0080" w:rsidRDefault="007C0080" w:rsidP="005C28EA">
            <w:pPr>
              <w:pStyle w:val="NoSpacing"/>
            </w:pPr>
            <w:r>
              <w:t>Middlesex University</w:t>
            </w:r>
          </w:p>
          <w:p w14:paraId="349862B2" w14:textId="77777777" w:rsidR="007C0080" w:rsidRDefault="007C0080" w:rsidP="005C28EA">
            <w:pPr>
              <w:pStyle w:val="NoSpacing"/>
            </w:pPr>
            <w:r>
              <w:t>University of Kent</w:t>
            </w:r>
          </w:p>
          <w:p w14:paraId="550F1676" w14:textId="77777777" w:rsidR="007C0080" w:rsidRPr="005C28EA" w:rsidRDefault="007C0080" w:rsidP="005C28EA">
            <w:pPr>
              <w:pStyle w:val="NoSpacing"/>
            </w:pPr>
            <w:r>
              <w:t>Bath Spa University</w:t>
            </w:r>
          </w:p>
          <w:p w14:paraId="3EDD97DD" w14:textId="77777777" w:rsidR="005C28EA" w:rsidRPr="005C28EA" w:rsidRDefault="005C28EA" w:rsidP="005C28EA">
            <w:pPr>
              <w:pStyle w:val="NoSpacing"/>
            </w:pPr>
            <w:r w:rsidRPr="005C28EA">
              <w:t>University of Edinburgh</w:t>
            </w:r>
          </w:p>
          <w:p w14:paraId="5617E1CF" w14:textId="77777777" w:rsidR="005C28EA" w:rsidRPr="005C28EA" w:rsidRDefault="005C28EA" w:rsidP="005C28EA">
            <w:pPr>
              <w:pStyle w:val="NoSpacing"/>
            </w:pPr>
            <w:r w:rsidRPr="005C28EA">
              <w:t>University of Glasgow</w:t>
            </w:r>
          </w:p>
          <w:p w14:paraId="6D3EAAF2" w14:textId="77777777" w:rsidR="005C28EA" w:rsidRPr="005C28EA" w:rsidRDefault="005C28EA" w:rsidP="005C28EA">
            <w:pPr>
              <w:pStyle w:val="NoSpacing"/>
            </w:pPr>
            <w:r w:rsidRPr="005C28EA">
              <w:t>Imperial College London</w:t>
            </w:r>
          </w:p>
          <w:p w14:paraId="18310392" w14:textId="77777777" w:rsidR="005C28EA" w:rsidRDefault="005C28EA" w:rsidP="005C28EA">
            <w:pPr>
              <w:pStyle w:val="NoSpacing"/>
            </w:pPr>
            <w:r w:rsidRPr="005C28EA">
              <w:t>King's College London</w:t>
            </w:r>
          </w:p>
          <w:p w14:paraId="2B62C30B" w14:textId="77777777" w:rsidR="007C0080" w:rsidRPr="005C28EA" w:rsidRDefault="007C0080" w:rsidP="005C28EA">
            <w:pPr>
              <w:pStyle w:val="NoSpacing"/>
            </w:pPr>
            <w:r>
              <w:t>University of Sussex</w:t>
            </w:r>
          </w:p>
          <w:p w14:paraId="06E15005" w14:textId="77777777" w:rsidR="005C28EA" w:rsidRPr="005C28EA" w:rsidRDefault="005C28EA" w:rsidP="005C28EA">
            <w:pPr>
              <w:pStyle w:val="NoSpacing"/>
            </w:pPr>
            <w:r w:rsidRPr="005C28EA">
              <w:t>University of Liverpool</w:t>
            </w:r>
          </w:p>
          <w:p w14:paraId="0CC78D30" w14:textId="77777777" w:rsidR="005C28EA" w:rsidRPr="005C28EA" w:rsidRDefault="006D58EC" w:rsidP="005C28EA">
            <w:pPr>
              <w:pStyle w:val="NoSpacing"/>
            </w:pPr>
            <w:r>
              <w:t xml:space="preserve">London School of </w:t>
            </w:r>
            <w:r w:rsidR="005C28EA" w:rsidRPr="005C28EA">
              <w:t xml:space="preserve">Economics </w:t>
            </w:r>
          </w:p>
          <w:p w14:paraId="5E8014D8" w14:textId="77777777" w:rsidR="005C28EA" w:rsidRPr="005C28EA" w:rsidRDefault="005C28EA" w:rsidP="005C28EA">
            <w:pPr>
              <w:pStyle w:val="NoSpacing"/>
            </w:pPr>
            <w:r w:rsidRPr="005C28EA">
              <w:t>University of Manchester</w:t>
            </w:r>
          </w:p>
          <w:p w14:paraId="72AC9B53" w14:textId="77777777" w:rsidR="005C28EA" w:rsidRPr="006D58EC" w:rsidRDefault="005C28EA" w:rsidP="006D58EC">
            <w:pPr>
              <w:pStyle w:val="NoSpacing"/>
            </w:pPr>
            <w:r w:rsidRPr="006D58EC">
              <w:t>Newcastle University</w:t>
            </w:r>
          </w:p>
          <w:p w14:paraId="62CFBED4" w14:textId="77777777" w:rsidR="005C28EA" w:rsidRPr="006D58EC" w:rsidRDefault="005C28EA" w:rsidP="006D58EC">
            <w:pPr>
              <w:pStyle w:val="NoSpacing"/>
            </w:pPr>
            <w:r w:rsidRPr="006D58EC">
              <w:t xml:space="preserve">University of </w:t>
            </w:r>
            <w:r w:rsidR="007C0080">
              <w:t>Edinburgh</w:t>
            </w:r>
          </w:p>
          <w:p w14:paraId="56D8B8A2" w14:textId="77777777" w:rsidR="005C28EA" w:rsidRPr="006D58EC" w:rsidRDefault="005C28EA" w:rsidP="006D58EC">
            <w:pPr>
              <w:pStyle w:val="NoSpacing"/>
            </w:pPr>
            <w:r w:rsidRPr="006D58EC">
              <w:t xml:space="preserve">University of </w:t>
            </w:r>
            <w:r w:rsidR="007C0080">
              <w:t>Exeter</w:t>
            </w:r>
          </w:p>
          <w:p w14:paraId="53301516" w14:textId="77777777" w:rsidR="0024082C" w:rsidRPr="006D58EC" w:rsidRDefault="007C0080" w:rsidP="006D58EC">
            <w:pPr>
              <w:pStyle w:val="NoSpacing"/>
            </w:pPr>
            <w:r>
              <w:t>Cardiff University</w:t>
            </w:r>
          </w:p>
          <w:p w14:paraId="76A5DEF5" w14:textId="77777777" w:rsidR="006D58EC" w:rsidRPr="005C28EA" w:rsidRDefault="007C0080" w:rsidP="006D58EC">
            <w:pPr>
              <w:pStyle w:val="NoSpacing"/>
            </w:pPr>
            <w:r>
              <w:t>Bishops University</w:t>
            </w:r>
          </w:p>
        </w:tc>
        <w:tc>
          <w:tcPr>
            <w:tcW w:w="3119" w:type="dxa"/>
            <w:vAlign w:val="center"/>
          </w:tcPr>
          <w:p w14:paraId="54674168" w14:textId="2B10A761" w:rsidR="0024082C" w:rsidRDefault="0024082C" w:rsidP="0024082C">
            <w:pPr>
              <w:rPr>
                <w:b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Kings College London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Lancaster University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Nottingham Trent University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Plymouth University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Ravensbourne College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Royal Holloway University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Cardiff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University of Central Lancashire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Chester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E</w:t>
            </w:r>
            <w:r w:rsidR="00F136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ssex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Exeter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Kent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Leeds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Newcastle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Reading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South Wales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St Andrews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Sussex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The Creative Arts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 of Winchester</w:t>
            </w:r>
          </w:p>
        </w:tc>
      </w:tr>
      <w:bookmarkEnd w:id="0"/>
    </w:tbl>
    <w:p w14:paraId="2E4C670D" w14:textId="77777777" w:rsidR="00931950" w:rsidRPr="00491297" w:rsidRDefault="00931950">
      <w:pPr>
        <w:rPr>
          <w:b/>
          <w:sz w:val="24"/>
        </w:rPr>
      </w:pPr>
    </w:p>
    <w:p w14:paraId="441A3A69" w14:textId="77777777" w:rsidR="00670387" w:rsidRDefault="00670387"/>
    <w:p w14:paraId="3D3F9C12" w14:textId="77777777" w:rsidR="00670387" w:rsidRDefault="00670387"/>
    <w:p w14:paraId="4C5334C8" w14:textId="77777777" w:rsidR="00670387" w:rsidRDefault="00670387"/>
    <w:p w14:paraId="2F1CB91E" w14:textId="77777777" w:rsidR="00670387" w:rsidRDefault="00670387"/>
    <w:p w14:paraId="7BF69347" w14:textId="77777777" w:rsidR="00670387" w:rsidRDefault="00670387"/>
    <w:p w14:paraId="3D7D13C3" w14:textId="77777777" w:rsidR="00670387" w:rsidRDefault="00670387"/>
    <w:p w14:paraId="026BFB2E" w14:textId="77777777" w:rsidR="00670387" w:rsidRDefault="00670387"/>
    <w:p w14:paraId="038FD74D" w14:textId="77777777" w:rsidR="00670387" w:rsidRDefault="00670387"/>
    <w:p w14:paraId="4043524F" w14:textId="77777777" w:rsidR="00491297" w:rsidRDefault="00B50219">
      <w:r>
        <w:t xml:space="preserve">The English College are </w:t>
      </w:r>
      <w:r w:rsidR="00670387">
        <w:t>pleased</w:t>
      </w:r>
      <w:r>
        <w:t xml:space="preserve"> to announce this year’s A Level results. The English coll</w:t>
      </w:r>
      <w:r w:rsidR="0067610F">
        <w:t>ege is yet again celebrating another successful year</w:t>
      </w:r>
      <w:r w:rsidR="00670387">
        <w:t xml:space="preserve"> </w:t>
      </w:r>
      <w:r w:rsidR="0067610F">
        <w:t>maintaining</w:t>
      </w:r>
      <w:r>
        <w:t xml:space="preserve"> </w:t>
      </w:r>
      <w:r w:rsidR="00670387">
        <w:t xml:space="preserve">a </w:t>
      </w:r>
      <w:r>
        <w:t>po</w:t>
      </w:r>
      <w:r w:rsidR="00670387">
        <w:t>sitive trend in A level results over the last 5 years.</w:t>
      </w:r>
    </w:p>
    <w:p w14:paraId="71B9670B" w14:textId="77777777" w:rsidR="00670387" w:rsidRDefault="00670387">
      <w:r>
        <w:t>As a truly all-inclusive school, our students continue to excel, making outstanding progress throughout their time at the college</w:t>
      </w:r>
      <w:r w:rsidR="0067610F">
        <w:t>.</w:t>
      </w:r>
      <w:r>
        <w:t xml:space="preserve"> </w:t>
      </w:r>
    </w:p>
    <w:p w14:paraId="70B3176A" w14:textId="77777777" w:rsidR="00670387" w:rsidRDefault="00670387">
      <w:r>
        <w:t xml:space="preserve">We would like </w:t>
      </w:r>
      <w:r w:rsidR="0067610F">
        <w:t xml:space="preserve">thank our teachers for their dedication and hard work and </w:t>
      </w:r>
      <w:r>
        <w:t>to congratulate all of our</w:t>
      </w:r>
      <w:r w:rsidR="0067610F">
        <w:t xml:space="preserve"> students for their commitment and effort </w:t>
      </w:r>
      <w:r>
        <w:t>throughout the year and wish them all the best in the next stage of their lives.</w:t>
      </w:r>
    </w:p>
    <w:p w14:paraId="2196389E" w14:textId="77777777" w:rsidR="00670387" w:rsidRDefault="0067610F">
      <w:r>
        <w:t>Well done class of 2019!</w:t>
      </w:r>
    </w:p>
    <w:sectPr w:rsidR="0067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0F1"/>
    <w:multiLevelType w:val="multilevel"/>
    <w:tmpl w:val="86E0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97"/>
    <w:rsid w:val="00024C2A"/>
    <w:rsid w:val="000B0864"/>
    <w:rsid w:val="00124BB1"/>
    <w:rsid w:val="001941FA"/>
    <w:rsid w:val="0024082C"/>
    <w:rsid w:val="00336F6C"/>
    <w:rsid w:val="003E17CE"/>
    <w:rsid w:val="00407237"/>
    <w:rsid w:val="004153A6"/>
    <w:rsid w:val="00476086"/>
    <w:rsid w:val="00491297"/>
    <w:rsid w:val="004A5A8F"/>
    <w:rsid w:val="005B20A5"/>
    <w:rsid w:val="005C28EA"/>
    <w:rsid w:val="00670387"/>
    <w:rsid w:val="0067610F"/>
    <w:rsid w:val="006D58EC"/>
    <w:rsid w:val="007C0080"/>
    <w:rsid w:val="008F7727"/>
    <w:rsid w:val="00931950"/>
    <w:rsid w:val="009E1E72"/>
    <w:rsid w:val="00B50219"/>
    <w:rsid w:val="00CF1DE8"/>
    <w:rsid w:val="00D4054F"/>
    <w:rsid w:val="00F136AA"/>
    <w:rsid w:val="00F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1E13"/>
  <w15:chartTrackingRefBased/>
  <w15:docId w15:val="{5D65694C-89FB-46C5-A949-8DA7682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28EA"/>
    <w:rPr>
      <w:color w:val="0000FF"/>
      <w:u w:val="single"/>
    </w:rPr>
  </w:style>
  <w:style w:type="paragraph" w:styleId="NoSpacing">
    <w:name w:val="No Spacing"/>
    <w:uiPriority w:val="1"/>
    <w:qFormat/>
    <w:rsid w:val="005C2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Campbell</dc:creator>
  <cp:keywords/>
  <dc:description/>
  <cp:lastModifiedBy>Jon WS</cp:lastModifiedBy>
  <cp:revision>2</cp:revision>
  <dcterms:created xsi:type="dcterms:W3CDTF">2019-09-16T10:46:00Z</dcterms:created>
  <dcterms:modified xsi:type="dcterms:W3CDTF">2019-09-16T10:46:00Z</dcterms:modified>
</cp:coreProperties>
</file>